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49DC5F7">
      <w:pPr>
        <w:pStyle w:val="6"/>
        <w:jc w:val="both"/>
        <w:rPr>
          <w:rFonts w:ascii="Times New Roman" w:hAnsi="Times New Roman"/>
          <w:lang w:val="sr-Cyrl-RS"/>
        </w:rPr>
      </w:pPr>
    </w:p>
    <w:p w14:paraId="53C05551">
      <w:pPr>
        <w:pStyle w:val="6"/>
        <w:rPr>
          <w:rFonts w:ascii="Times New Roman" w:hAnsi="Times New Roman"/>
          <w:lang w:val="sr-Cyrl-CS"/>
        </w:rPr>
      </w:pPr>
    </w:p>
    <w:p w14:paraId="57C9C25A">
      <w:pPr>
        <w:pStyle w:val="6"/>
        <w:rPr>
          <w:rFonts w:ascii="Times New Roman" w:hAnsi="Times New Roman"/>
          <w:lang w:val="sr-Cyrl-CS"/>
        </w:rPr>
      </w:pPr>
    </w:p>
    <w:p w14:paraId="7E6FCE8A">
      <w:pPr>
        <w:pStyle w:val="6"/>
        <w:jc w:val="center"/>
        <w:rPr>
          <w:rFonts w:ascii="Times New Roman" w:hAnsi="Times New Roman"/>
          <w:lang w:val="sr-Cyrl-RS"/>
        </w:rPr>
      </w:pPr>
      <w:r>
        <w:rPr>
          <w:rFonts w:ascii="Times New Roman" w:hAnsi="Times New Roman"/>
          <w:b/>
          <w:i/>
          <w:lang w:val="sr-Cyrl-CS"/>
        </w:rPr>
        <w:t>DEONIČKO DRUŠTVO U MEŠOVITOJ SVOJINI INSTITUT ZA SISTEME PLANIRANJA I UPRAVLJANJA, BEOGRAD (VOŽDOVAC) - U STEČAJU, 11040 БЕОГРАД (ВОЖДОВАЦ), ЈОВЕ ИЛИЋА 165, МБ: 07054238, ПИБ 111291623</w:t>
      </w:r>
    </w:p>
    <w:p w14:paraId="76AF1A3D">
      <w:pPr>
        <w:pStyle w:val="6"/>
        <w:jc w:val="center"/>
        <w:rPr>
          <w:rFonts w:ascii="Times New Roman" w:hAnsi="Times New Roman"/>
          <w:b/>
          <w:sz w:val="24"/>
          <w:szCs w:val="24"/>
          <w:lang w:val="sr-Cyrl-CS"/>
        </w:rPr>
      </w:pPr>
    </w:p>
    <w:p w14:paraId="225376DA">
      <w:pPr>
        <w:pStyle w:val="6"/>
        <w:jc w:val="center"/>
        <w:rPr>
          <w:rFonts w:ascii="Times New Roman" w:hAnsi="Times New Roman"/>
          <w:b/>
          <w:sz w:val="24"/>
          <w:szCs w:val="24"/>
          <w:lang w:val="sr-Cyrl-CS"/>
        </w:rPr>
      </w:pPr>
      <w:r>
        <w:rPr>
          <w:rFonts w:ascii="Times New Roman" w:hAnsi="Times New Roman"/>
          <w:b/>
          <w:sz w:val="24"/>
          <w:szCs w:val="24"/>
          <w:lang w:val="sr-Cyrl-CS"/>
        </w:rPr>
        <w:t>О</w:t>
      </w:r>
      <w:r>
        <w:rPr>
          <w:rFonts w:ascii="Times New Roman" w:hAnsi="Times New Roman"/>
          <w:b/>
          <w:sz w:val="24"/>
          <w:szCs w:val="24"/>
        </w:rPr>
        <w:t xml:space="preserve"> </w:t>
      </w:r>
      <w:r>
        <w:rPr>
          <w:rFonts w:ascii="Times New Roman" w:hAnsi="Times New Roman"/>
          <w:b/>
          <w:sz w:val="24"/>
          <w:szCs w:val="24"/>
          <w:lang w:val="sr-Cyrl-CS"/>
        </w:rPr>
        <w:t>Г</w:t>
      </w:r>
      <w:r>
        <w:rPr>
          <w:rFonts w:ascii="Times New Roman" w:hAnsi="Times New Roman"/>
          <w:b/>
          <w:sz w:val="24"/>
          <w:szCs w:val="24"/>
        </w:rPr>
        <w:t xml:space="preserve"> </w:t>
      </w:r>
      <w:r>
        <w:rPr>
          <w:rFonts w:ascii="Times New Roman" w:hAnsi="Times New Roman"/>
          <w:b/>
          <w:sz w:val="24"/>
          <w:szCs w:val="24"/>
          <w:lang w:val="sr-Cyrl-CS"/>
        </w:rPr>
        <w:t>Л</w:t>
      </w:r>
      <w:r>
        <w:rPr>
          <w:rFonts w:ascii="Times New Roman" w:hAnsi="Times New Roman"/>
          <w:b/>
          <w:sz w:val="24"/>
          <w:szCs w:val="24"/>
        </w:rPr>
        <w:t xml:space="preserve"> </w:t>
      </w:r>
      <w:r>
        <w:rPr>
          <w:rFonts w:ascii="Times New Roman" w:hAnsi="Times New Roman"/>
          <w:b/>
          <w:sz w:val="24"/>
          <w:szCs w:val="24"/>
          <w:lang w:val="sr-Cyrl-CS"/>
        </w:rPr>
        <w:t>А</w:t>
      </w:r>
      <w:r>
        <w:rPr>
          <w:rFonts w:ascii="Times New Roman" w:hAnsi="Times New Roman"/>
          <w:b/>
          <w:sz w:val="24"/>
          <w:szCs w:val="24"/>
        </w:rPr>
        <w:t xml:space="preserve"> </w:t>
      </w:r>
      <w:r>
        <w:rPr>
          <w:rFonts w:ascii="Times New Roman" w:hAnsi="Times New Roman"/>
          <w:b/>
          <w:sz w:val="24"/>
          <w:szCs w:val="24"/>
          <w:lang w:val="sr-Cyrl-CS"/>
        </w:rPr>
        <w:t>Ш</w:t>
      </w:r>
      <w:r>
        <w:rPr>
          <w:rFonts w:ascii="Times New Roman" w:hAnsi="Times New Roman"/>
          <w:b/>
          <w:sz w:val="24"/>
          <w:szCs w:val="24"/>
        </w:rPr>
        <w:t xml:space="preserve"> </w:t>
      </w:r>
      <w:r>
        <w:rPr>
          <w:rFonts w:ascii="Times New Roman" w:hAnsi="Times New Roman"/>
          <w:b/>
          <w:sz w:val="24"/>
          <w:szCs w:val="24"/>
          <w:lang w:val="sr-Cyrl-CS"/>
        </w:rPr>
        <w:t>А</w:t>
      </w:r>
      <w:r>
        <w:rPr>
          <w:rFonts w:ascii="Times New Roman" w:hAnsi="Times New Roman"/>
          <w:b/>
          <w:sz w:val="24"/>
          <w:szCs w:val="24"/>
        </w:rPr>
        <w:t xml:space="preserve"> </w:t>
      </w:r>
      <w:r>
        <w:rPr>
          <w:rFonts w:ascii="Times New Roman" w:hAnsi="Times New Roman"/>
          <w:b/>
          <w:sz w:val="24"/>
          <w:szCs w:val="24"/>
          <w:lang w:val="sr-Cyrl-CS"/>
        </w:rPr>
        <w:t>В</w:t>
      </w:r>
      <w:r>
        <w:rPr>
          <w:rFonts w:ascii="Times New Roman" w:hAnsi="Times New Roman"/>
          <w:b/>
          <w:sz w:val="24"/>
          <w:szCs w:val="24"/>
        </w:rPr>
        <w:t xml:space="preserve"> </w:t>
      </w:r>
      <w:r>
        <w:rPr>
          <w:rFonts w:ascii="Times New Roman" w:hAnsi="Times New Roman"/>
          <w:b/>
          <w:sz w:val="24"/>
          <w:szCs w:val="24"/>
          <w:lang w:val="sr-Cyrl-CS"/>
        </w:rPr>
        <w:t>А</w:t>
      </w:r>
    </w:p>
    <w:p w14:paraId="77034044">
      <w:pPr>
        <w:pStyle w:val="6"/>
        <w:jc w:val="center"/>
        <w:rPr>
          <w:rFonts w:ascii="Times New Roman" w:hAnsi="Times New Roman"/>
          <w:b/>
        </w:rPr>
      </w:pPr>
    </w:p>
    <w:p w14:paraId="52C55DF3">
      <w:pPr>
        <w:pStyle w:val="6"/>
        <w:jc w:val="center"/>
        <w:rPr>
          <w:rFonts w:ascii="Times New Roman" w:hAnsi="Times New Roman"/>
          <w:b/>
          <w:lang w:val="sr-Cyrl-CS"/>
        </w:rPr>
      </w:pPr>
      <w:r>
        <w:rPr>
          <w:rFonts w:ascii="Times New Roman" w:hAnsi="Times New Roman"/>
          <w:b/>
          <w:lang w:val="sr-Cyrl-CS"/>
        </w:rPr>
        <w:t>продају јавним надметањем</w:t>
      </w:r>
    </w:p>
    <w:p w14:paraId="78B206D2">
      <w:pPr>
        <w:pStyle w:val="6"/>
        <w:rPr>
          <w:rFonts w:ascii="Times New Roman" w:hAnsi="Times New Roman"/>
          <w:b/>
        </w:rPr>
      </w:pPr>
    </w:p>
    <w:p w14:paraId="294DB9B3">
      <w:pPr>
        <w:pStyle w:val="6"/>
        <w:jc w:val="both"/>
        <w:rPr>
          <w:rFonts w:ascii="Times New Roman" w:hAnsi="Times New Roman"/>
          <w:bCs/>
          <w:sz w:val="24"/>
          <w:szCs w:val="24"/>
        </w:rPr>
      </w:pPr>
      <w:r>
        <w:rPr>
          <w:rFonts w:ascii="Times New Roman" w:hAnsi="Times New Roman"/>
          <w:bCs/>
          <w:sz w:val="24"/>
          <w:szCs w:val="24"/>
        </w:rPr>
        <w:t>станa бр. 24, корисне површине 41 м2, по структури једнособан, на другом спрату стамбено пословне зграде - зграде број 3, на кат.парц.бр. 10480 КО Чукарица. Згради је додељен кућни број 51 у улици Радничкој.</w:t>
      </w:r>
    </w:p>
    <w:p w14:paraId="30B28ABB">
      <w:pPr>
        <w:pStyle w:val="6"/>
        <w:rPr>
          <w:rFonts w:ascii="Times New Roman" w:hAnsi="Times New Roman"/>
          <w:b/>
          <w:sz w:val="24"/>
          <w:szCs w:val="24"/>
        </w:rPr>
      </w:pPr>
      <w:bookmarkStart w:id="2" w:name="_GoBack"/>
      <w:bookmarkEnd w:id="2"/>
    </w:p>
    <w:p w14:paraId="1C87C977">
      <w:pPr>
        <w:pStyle w:val="6"/>
        <w:rPr>
          <w:rFonts w:ascii="Times New Roman" w:hAnsi="Times New Roman"/>
          <w:bCs/>
          <w:sz w:val="24"/>
          <w:szCs w:val="24"/>
          <w:lang w:val="sr-Cyrl-RS"/>
        </w:rPr>
      </w:pPr>
      <w:r>
        <w:rPr>
          <w:rFonts w:ascii="Times New Roman" w:hAnsi="Times New Roman"/>
          <w:bCs/>
          <w:sz w:val="24"/>
          <w:szCs w:val="24"/>
          <w:lang w:val="sr-Cyrl-RS"/>
        </w:rPr>
        <w:t>Процењена вредност: 13.472.698,50 динара,</w:t>
      </w:r>
    </w:p>
    <w:p w14:paraId="49B2B34B">
      <w:pPr>
        <w:pStyle w:val="6"/>
        <w:rPr>
          <w:rFonts w:ascii="Times New Roman" w:hAnsi="Times New Roman"/>
          <w:bCs/>
          <w:sz w:val="24"/>
          <w:szCs w:val="24"/>
          <w:lang w:val="sr-Cyrl-RS"/>
        </w:rPr>
      </w:pPr>
      <w:r>
        <w:rPr>
          <w:rFonts w:ascii="Times New Roman" w:hAnsi="Times New Roman"/>
          <w:bCs/>
          <w:sz w:val="24"/>
          <w:szCs w:val="24"/>
          <w:lang w:val="sr-Cyrl-RS"/>
        </w:rPr>
        <w:t>Почетна цена: 6.736.349,25 динара,</w:t>
      </w:r>
    </w:p>
    <w:p w14:paraId="6B107DA5">
      <w:pPr>
        <w:pStyle w:val="6"/>
        <w:rPr>
          <w:rFonts w:ascii="Times New Roman" w:hAnsi="Times New Roman"/>
          <w:bCs/>
          <w:sz w:val="24"/>
          <w:szCs w:val="24"/>
          <w:lang w:val="sr-Cyrl-RS"/>
        </w:rPr>
      </w:pPr>
      <w:r>
        <w:rPr>
          <w:rFonts w:ascii="Times New Roman" w:hAnsi="Times New Roman"/>
          <w:bCs/>
          <w:sz w:val="24"/>
          <w:szCs w:val="24"/>
          <w:lang w:val="sr-Cyrl-RS"/>
        </w:rPr>
        <w:t>Депозит: 2.694.539,70 динара.</w:t>
      </w:r>
    </w:p>
    <w:p w14:paraId="4F67997A">
      <w:pPr>
        <w:pStyle w:val="6"/>
        <w:rPr>
          <w:rFonts w:ascii="Times New Roman" w:hAnsi="Times New Roman"/>
          <w:bCs/>
          <w:sz w:val="24"/>
          <w:szCs w:val="24"/>
          <w:lang w:val="sr-Cyrl-RS"/>
        </w:rPr>
      </w:pPr>
    </w:p>
    <w:p w14:paraId="09AEF3DF">
      <w:pPr>
        <w:pStyle w:val="6"/>
        <w:rPr>
          <w:rFonts w:ascii="Times New Roman" w:hAnsi="Times New Roman"/>
          <w:bCs/>
          <w:sz w:val="24"/>
          <w:szCs w:val="24"/>
          <w:lang w:val="sr-Cyrl-RS"/>
        </w:rPr>
      </w:pPr>
      <w:r>
        <w:rPr>
          <w:rFonts w:ascii="Times New Roman" w:hAnsi="Times New Roman"/>
          <w:bCs/>
          <w:sz w:val="24"/>
          <w:szCs w:val="24"/>
          <w:lang w:val="sr-Cyrl-RS"/>
        </w:rPr>
        <w:t>Напомена: Стечајни управник обавештава потенцијалне купце да стечајни дужник није у поседу стана, већ да се у стану налази треће лице које држи кључеве стана, и да се у стану налазе ствари – намештај држаоца стана, а што значи да је стан у поседу НН лица, без правног основа.</w:t>
      </w:r>
    </w:p>
    <w:p w14:paraId="0DE026E9">
      <w:pPr>
        <w:pStyle w:val="6"/>
        <w:rPr>
          <w:rFonts w:ascii="Times New Roman" w:hAnsi="Times New Roman"/>
          <w:bCs/>
          <w:sz w:val="24"/>
          <w:szCs w:val="24"/>
          <w:lang w:val="sr-Cyrl-RS"/>
        </w:rPr>
      </w:pPr>
      <w:r>
        <w:rPr>
          <w:rFonts w:ascii="Times New Roman" w:hAnsi="Times New Roman"/>
          <w:bCs/>
          <w:sz w:val="24"/>
          <w:szCs w:val="24"/>
          <w:lang w:val="sr-Cyrl-RS"/>
        </w:rPr>
        <w:t>Такође, објекат нема одобрење за употребу. Поднет је захтев за озакоњење објекта, а предметни стан је искључен са електромреже.</w:t>
      </w:r>
    </w:p>
    <w:p w14:paraId="4F5C50D0">
      <w:pPr>
        <w:pStyle w:val="6"/>
        <w:rPr>
          <w:rFonts w:ascii="Times New Roman" w:hAnsi="Times New Roman"/>
        </w:rPr>
      </w:pPr>
    </w:p>
    <w:p w14:paraId="3598D53B">
      <w:pPr>
        <w:spacing w:after="0"/>
        <w:jc w:val="both"/>
        <w:rPr>
          <w:rFonts w:ascii="Times New Roman" w:hAnsi="Times New Roman"/>
          <w:sz w:val="24"/>
          <w:szCs w:val="24"/>
          <w:lang w:val="ru-RU" w:eastAsia="en-US"/>
        </w:rPr>
      </w:pPr>
      <w:r>
        <w:rPr>
          <w:rFonts w:ascii="Times New Roman" w:hAnsi="Times New Roman"/>
          <w:sz w:val="24"/>
          <w:szCs w:val="24"/>
          <w:lang w:val="ru-RU" w:eastAsia="en-US"/>
        </w:rPr>
        <w:t>Право на учешће имају сва правна и физичка лица која:</w:t>
      </w:r>
    </w:p>
    <w:p w14:paraId="43390DB1">
      <w:pPr>
        <w:spacing w:after="0"/>
        <w:jc w:val="both"/>
        <w:rPr>
          <w:rFonts w:ascii="Times New Roman" w:hAnsi="Times New Roman"/>
          <w:sz w:val="24"/>
          <w:szCs w:val="24"/>
          <w:lang w:val="ru-RU" w:eastAsia="en-US"/>
        </w:rPr>
      </w:pPr>
    </w:p>
    <w:p w14:paraId="0DA2596B">
      <w:pPr>
        <w:numPr>
          <w:ilvl w:val="0"/>
          <w:numId w:val="1"/>
        </w:numPr>
        <w:spacing w:after="0" w:line="240" w:lineRule="auto"/>
        <w:jc w:val="both"/>
        <w:rPr>
          <w:rFonts w:ascii="Times New Roman" w:hAnsi="Times New Roman"/>
          <w:b/>
          <w:bCs/>
          <w:sz w:val="24"/>
          <w:szCs w:val="24"/>
          <w:lang w:val="sr-Cyrl-CS" w:eastAsia="en-US"/>
        </w:rPr>
      </w:pPr>
      <w:r>
        <w:rPr>
          <w:rFonts w:ascii="Times New Roman" w:hAnsi="Times New Roman"/>
          <w:sz w:val="24"/>
          <w:szCs w:val="24"/>
          <w:lang w:val="ru-RU" w:eastAsia="en-US"/>
        </w:rPr>
        <w:t xml:space="preserve">након добијања профактуре, </w:t>
      </w:r>
      <w:r>
        <w:rPr>
          <w:rFonts w:ascii="Times New Roman" w:hAnsi="Times New Roman"/>
          <w:b/>
          <w:bCs/>
          <w:sz w:val="24"/>
          <w:szCs w:val="24"/>
          <w:lang w:val="ru-RU" w:eastAsia="en-US"/>
        </w:rPr>
        <w:t>изврше уплату ради откупа продајне документације у износу од</w:t>
      </w:r>
      <w:r>
        <w:rPr>
          <w:rFonts w:ascii="Times New Roman" w:hAnsi="Times New Roman"/>
          <w:sz w:val="24"/>
          <w:szCs w:val="24"/>
          <w:lang w:val="ru-RU" w:eastAsia="en-US"/>
        </w:rPr>
        <w:t xml:space="preserve"> </w:t>
      </w:r>
      <w:r>
        <w:rPr>
          <w:rFonts w:ascii="Times New Roman" w:hAnsi="Times New Roman"/>
          <w:b/>
          <w:bCs/>
          <w:sz w:val="24"/>
          <w:szCs w:val="24"/>
          <w:lang w:val="sr-Cyrl-RS" w:eastAsia="en-US"/>
        </w:rPr>
        <w:t>5</w:t>
      </w:r>
      <w:r>
        <w:rPr>
          <w:rFonts w:ascii="Times New Roman" w:hAnsi="Times New Roman"/>
          <w:b/>
          <w:sz w:val="24"/>
          <w:szCs w:val="24"/>
          <w:lang w:val="ru-RU" w:eastAsia="en-US"/>
        </w:rPr>
        <w:t>0.000,00 динара</w:t>
      </w:r>
      <w:r>
        <w:rPr>
          <w:rFonts w:ascii="Times New Roman" w:hAnsi="Times New Roman"/>
          <w:b/>
          <w:sz w:val="24"/>
          <w:szCs w:val="24"/>
          <w:lang w:val="sr-Latn-RS" w:eastAsia="en-US"/>
        </w:rPr>
        <w:t>.</w:t>
      </w:r>
      <w:r>
        <w:rPr>
          <w:rFonts w:ascii="Times New Roman" w:hAnsi="Times New Roman"/>
          <w:sz w:val="24"/>
          <w:szCs w:val="24"/>
          <w:lang w:val="ru-RU" w:eastAsia="en-US"/>
        </w:rPr>
        <w:t xml:space="preserve"> </w:t>
      </w:r>
      <w:r>
        <w:rPr>
          <w:rFonts w:ascii="Times New Roman" w:hAnsi="Times New Roman"/>
          <w:b/>
          <w:bCs/>
          <w:sz w:val="24"/>
          <w:szCs w:val="24"/>
          <w:lang w:val="sr-Cyrl-CS" w:eastAsia="en-US"/>
        </w:rPr>
        <w:t xml:space="preserve"> </w:t>
      </w:r>
      <w:r>
        <w:rPr>
          <w:rFonts w:ascii="Times New Roman" w:hAnsi="Times New Roman"/>
          <w:sz w:val="24"/>
          <w:szCs w:val="24"/>
          <w:lang w:val="sr-Cyrl-RS" w:eastAsia="en-US"/>
        </w:rPr>
        <w:t>П</w:t>
      </w:r>
      <w:r>
        <w:rPr>
          <w:rFonts w:ascii="Times New Roman" w:hAnsi="Times New Roman"/>
          <w:sz w:val="24"/>
          <w:szCs w:val="24"/>
          <w:lang w:val="ru-RU" w:eastAsia="en-US"/>
        </w:rPr>
        <w:t xml:space="preserve">рофактура ради откупа продајне документације може се преузимати на адреси стечајног управника у Београду-Врачар, ул. Мутапова бр. 20, локал 4, сваког радног дана у периоду од </w:t>
      </w:r>
      <w:r>
        <w:rPr>
          <w:rFonts w:ascii="Times New Roman" w:hAnsi="Times New Roman"/>
          <w:sz w:val="24"/>
          <w:szCs w:val="24"/>
          <w:lang w:val="sr-Cyrl-CS" w:eastAsia="en-US"/>
        </w:rPr>
        <w:t>10</w:t>
      </w:r>
      <w:r>
        <w:rPr>
          <w:rFonts w:ascii="Times New Roman" w:hAnsi="Times New Roman"/>
          <w:sz w:val="24"/>
          <w:szCs w:val="24"/>
          <w:lang w:val="sr-Latn-RS" w:eastAsia="en-US"/>
        </w:rPr>
        <w:t>:</w:t>
      </w:r>
      <w:r>
        <w:rPr>
          <w:rFonts w:ascii="Times New Roman" w:hAnsi="Times New Roman"/>
          <w:sz w:val="24"/>
          <w:szCs w:val="24"/>
          <w:lang w:val="sr-Cyrl-CS" w:eastAsia="en-US"/>
        </w:rPr>
        <w:t>00</w:t>
      </w:r>
      <w:r>
        <w:rPr>
          <w:rFonts w:ascii="Times New Roman" w:hAnsi="Times New Roman"/>
          <w:sz w:val="24"/>
          <w:szCs w:val="24"/>
          <w:lang w:val="ru-RU" w:eastAsia="en-US"/>
        </w:rPr>
        <w:t xml:space="preserve"> до </w:t>
      </w:r>
      <w:r>
        <w:rPr>
          <w:rFonts w:ascii="Times New Roman" w:hAnsi="Times New Roman"/>
          <w:sz w:val="24"/>
          <w:szCs w:val="24"/>
          <w:lang w:val="sr-Cyrl-CS" w:eastAsia="en-US"/>
        </w:rPr>
        <w:t>14</w:t>
      </w:r>
      <w:r>
        <w:rPr>
          <w:rFonts w:ascii="Times New Roman" w:hAnsi="Times New Roman"/>
          <w:sz w:val="24"/>
          <w:szCs w:val="24"/>
          <w:lang w:val="sr-Latn-RS" w:eastAsia="en-US"/>
        </w:rPr>
        <w:t>:</w:t>
      </w:r>
      <w:r>
        <w:rPr>
          <w:rFonts w:ascii="Times New Roman" w:hAnsi="Times New Roman"/>
          <w:sz w:val="24"/>
          <w:szCs w:val="24"/>
          <w:lang w:val="sr-Cyrl-CS" w:eastAsia="en-US"/>
        </w:rPr>
        <w:t>00</w:t>
      </w:r>
      <w:r>
        <w:rPr>
          <w:rFonts w:ascii="Times New Roman" w:hAnsi="Times New Roman"/>
          <w:sz w:val="24"/>
          <w:szCs w:val="24"/>
          <w:lang w:val="ru-RU" w:eastAsia="en-US"/>
        </w:rPr>
        <w:t xml:space="preserve"> часова </w:t>
      </w:r>
      <w:r>
        <w:rPr>
          <w:rFonts w:ascii="Times New Roman" w:hAnsi="Times New Roman"/>
          <w:sz w:val="24"/>
          <w:szCs w:val="24"/>
          <w:lang w:val="sr-Cyrl-CS" w:eastAsia="en-US"/>
        </w:rPr>
        <w:t xml:space="preserve">уз обавезну најаву стечајном управнику или писаним захтевом путем електронске поште на адресу </w:t>
      </w:r>
      <w:r>
        <w:rPr>
          <w:rFonts w:ascii="Times New Roman" w:hAnsi="Times New Roman"/>
          <w:sz w:val="24"/>
          <w:szCs w:val="24"/>
          <w:u w:val="single"/>
          <w:lang w:val="en-US" w:eastAsia="en-US"/>
        </w:rPr>
        <w:t>d</w:t>
      </w:r>
      <w:r>
        <w:rPr>
          <w:rFonts w:ascii="Times New Roman" w:hAnsi="Times New Roman"/>
          <w:sz w:val="24"/>
          <w:szCs w:val="24"/>
          <w:u w:val="single"/>
          <w:lang w:val="ru-RU" w:eastAsia="en-US"/>
        </w:rPr>
        <w:t>.</w:t>
      </w:r>
      <w:r>
        <w:rPr>
          <w:rFonts w:ascii="Times New Roman" w:hAnsi="Times New Roman"/>
          <w:sz w:val="24"/>
          <w:szCs w:val="24"/>
          <w:u w:val="single"/>
          <w:lang w:val="en-US" w:eastAsia="en-US"/>
        </w:rPr>
        <w:t>djukic</w:t>
      </w:r>
      <w:r>
        <w:rPr>
          <w:rFonts w:ascii="Times New Roman" w:hAnsi="Times New Roman"/>
          <w:sz w:val="24"/>
          <w:szCs w:val="24"/>
          <w:u w:val="single"/>
          <w:lang w:val="ru-RU" w:eastAsia="en-US"/>
        </w:rPr>
        <w:t>.</w:t>
      </w:r>
      <w:r>
        <w:rPr>
          <w:rFonts w:ascii="Times New Roman" w:hAnsi="Times New Roman"/>
          <w:sz w:val="24"/>
          <w:szCs w:val="24"/>
          <w:u w:val="single"/>
          <w:lang w:val="en-US" w:eastAsia="en-US"/>
        </w:rPr>
        <w:t>pritoka</w:t>
      </w:r>
      <w:r>
        <w:rPr>
          <w:rFonts w:ascii="Times New Roman" w:hAnsi="Times New Roman"/>
          <w:sz w:val="24"/>
          <w:szCs w:val="24"/>
          <w:u w:val="single"/>
          <w:lang w:val="ru-RU" w:eastAsia="en-US"/>
        </w:rPr>
        <w:t>@</w:t>
      </w:r>
      <w:r>
        <w:rPr>
          <w:rFonts w:ascii="Times New Roman" w:hAnsi="Times New Roman"/>
          <w:sz w:val="24"/>
          <w:szCs w:val="24"/>
          <w:u w:val="single"/>
          <w:lang w:val="en-US" w:eastAsia="en-US"/>
        </w:rPr>
        <w:t>gmail</w:t>
      </w:r>
      <w:r>
        <w:rPr>
          <w:rFonts w:ascii="Times New Roman" w:hAnsi="Times New Roman"/>
          <w:sz w:val="24"/>
          <w:szCs w:val="24"/>
          <w:u w:val="single"/>
          <w:lang w:val="ru-RU" w:eastAsia="en-US"/>
        </w:rPr>
        <w:t>.</w:t>
      </w:r>
      <w:r>
        <w:rPr>
          <w:rFonts w:ascii="Times New Roman" w:hAnsi="Times New Roman"/>
          <w:sz w:val="24"/>
          <w:szCs w:val="24"/>
          <w:u w:val="single"/>
          <w:lang w:val="en-US" w:eastAsia="en-US"/>
        </w:rPr>
        <w:t>com</w:t>
      </w:r>
      <w:r>
        <w:rPr>
          <w:rFonts w:ascii="Times New Roman" w:hAnsi="Times New Roman"/>
          <w:sz w:val="24"/>
          <w:szCs w:val="24"/>
          <w:lang w:val="sr-Cyrl-CS" w:eastAsia="en-US"/>
        </w:rPr>
        <w:t>.</w:t>
      </w:r>
      <w:r>
        <w:rPr>
          <w:rFonts w:ascii="Times New Roman" w:hAnsi="Times New Roman"/>
          <w:sz w:val="24"/>
          <w:szCs w:val="24"/>
          <w:lang w:val="ru-RU" w:eastAsia="en-US"/>
        </w:rPr>
        <w:t xml:space="preserve"> </w:t>
      </w:r>
      <w:r>
        <w:rPr>
          <w:rFonts w:ascii="Times New Roman" w:hAnsi="Times New Roman"/>
          <w:sz w:val="24"/>
          <w:szCs w:val="24"/>
          <w:lang w:val="sr-Cyrl-CS" w:eastAsia="en-US"/>
        </w:rPr>
        <w:t xml:space="preserve">Крајњи рок за преузимање профактуре, односно уплату и прузимање продајне документације је </w:t>
      </w:r>
      <w:r>
        <w:rPr>
          <w:rFonts w:ascii="Times New Roman" w:hAnsi="Times New Roman"/>
          <w:b/>
          <w:bCs/>
          <w:sz w:val="24"/>
          <w:szCs w:val="24"/>
          <w:lang w:val="sr-Cyrl-RS" w:eastAsia="en-US"/>
        </w:rPr>
        <w:t>0</w:t>
      </w:r>
      <w:r>
        <w:rPr>
          <w:rFonts w:ascii="Times New Roman" w:hAnsi="Times New Roman"/>
          <w:b/>
          <w:bCs/>
          <w:sz w:val="24"/>
          <w:szCs w:val="24"/>
          <w:lang w:val="sr-Latn-RS" w:eastAsia="en-US"/>
        </w:rPr>
        <w:t>9</w:t>
      </w:r>
      <w:r>
        <w:rPr>
          <w:rFonts w:ascii="Times New Roman" w:hAnsi="Times New Roman"/>
          <w:b/>
          <w:bCs/>
          <w:sz w:val="24"/>
          <w:szCs w:val="24"/>
          <w:lang w:val="sr-Cyrl-RS" w:eastAsia="en-US"/>
        </w:rPr>
        <w:t>.</w:t>
      </w:r>
      <w:r>
        <w:rPr>
          <w:rFonts w:ascii="Times New Roman" w:hAnsi="Times New Roman"/>
          <w:b/>
          <w:bCs/>
          <w:sz w:val="24"/>
          <w:szCs w:val="24"/>
          <w:lang w:val="sr-Latn-RS" w:eastAsia="en-US"/>
        </w:rPr>
        <w:t>06</w:t>
      </w:r>
      <w:r>
        <w:rPr>
          <w:rFonts w:ascii="Times New Roman" w:hAnsi="Times New Roman"/>
          <w:b/>
          <w:bCs/>
          <w:sz w:val="24"/>
          <w:szCs w:val="24"/>
          <w:lang w:val="ru-RU" w:eastAsia="en-US"/>
        </w:rPr>
        <w:t>.202</w:t>
      </w:r>
      <w:r>
        <w:rPr>
          <w:rFonts w:ascii="Times New Roman" w:hAnsi="Times New Roman"/>
          <w:b/>
          <w:bCs/>
          <w:sz w:val="24"/>
          <w:szCs w:val="24"/>
          <w:lang w:val="sr-Latn-RS" w:eastAsia="en-US"/>
        </w:rPr>
        <w:t>5</w:t>
      </w:r>
      <w:r>
        <w:rPr>
          <w:rFonts w:ascii="Times New Roman" w:hAnsi="Times New Roman"/>
          <w:b/>
          <w:bCs/>
          <w:sz w:val="24"/>
          <w:szCs w:val="24"/>
          <w:lang w:val="ru-RU" w:eastAsia="en-US"/>
        </w:rPr>
        <w:t xml:space="preserve">. </w:t>
      </w:r>
      <w:r>
        <w:rPr>
          <w:rFonts w:ascii="Times New Roman" w:hAnsi="Times New Roman"/>
          <w:b/>
          <w:bCs/>
          <w:sz w:val="24"/>
          <w:szCs w:val="24"/>
          <w:lang w:val="sr-Cyrl-CS" w:eastAsia="en-US"/>
        </w:rPr>
        <w:t>године;</w:t>
      </w:r>
    </w:p>
    <w:p w14:paraId="56C00B07">
      <w:pPr>
        <w:numPr>
          <w:ilvl w:val="0"/>
          <w:numId w:val="1"/>
        </w:numPr>
        <w:spacing w:after="0" w:line="240" w:lineRule="auto"/>
        <w:jc w:val="both"/>
        <w:rPr>
          <w:rFonts w:ascii="Times New Roman" w:hAnsi="Times New Roman"/>
          <w:sz w:val="24"/>
          <w:szCs w:val="24"/>
          <w:lang w:val="sr-Cyrl-CS" w:eastAsia="en-US"/>
        </w:rPr>
      </w:pPr>
      <w:r>
        <w:rPr>
          <w:rFonts w:ascii="Times New Roman" w:hAnsi="Times New Roman"/>
          <w:sz w:val="24"/>
          <w:szCs w:val="24"/>
          <w:lang w:val="sr-Cyrl-CS" w:eastAsia="en-US"/>
        </w:rPr>
        <w:t>уплате</w:t>
      </w:r>
      <w:r>
        <w:rPr>
          <w:rFonts w:ascii="Times New Roman" w:hAnsi="Times New Roman"/>
          <w:sz w:val="24"/>
          <w:szCs w:val="24"/>
          <w:lang w:val="sr-Latn-RS" w:eastAsia="en-US"/>
        </w:rPr>
        <w:t xml:space="preserve"> </w:t>
      </w:r>
      <w:r>
        <w:rPr>
          <w:rFonts w:ascii="Times New Roman" w:hAnsi="Times New Roman"/>
          <w:sz w:val="24"/>
          <w:szCs w:val="24"/>
          <w:lang w:val="sr-Cyrl-RS" w:eastAsia="en-US"/>
        </w:rPr>
        <w:t xml:space="preserve">депозит у износу од </w:t>
      </w:r>
      <w:r>
        <w:rPr>
          <w:rFonts w:ascii="Times New Roman" w:hAnsi="Times New Roman"/>
          <w:b/>
          <w:sz w:val="24"/>
          <w:szCs w:val="24"/>
          <w:lang w:val="sr-Cyrl-RS" w:eastAsia="en-US"/>
        </w:rPr>
        <w:t>2.694.539,70</w:t>
      </w:r>
      <w:r>
        <w:rPr>
          <w:rFonts w:ascii="Times New Roman" w:hAnsi="Times New Roman"/>
          <w:b/>
          <w:sz w:val="24"/>
          <w:szCs w:val="24"/>
          <w:lang w:val="sr-Latn-RS" w:eastAsia="en-US"/>
        </w:rPr>
        <w:t xml:space="preserve"> </w:t>
      </w:r>
      <w:r>
        <w:rPr>
          <w:rFonts w:ascii="Times New Roman" w:hAnsi="Times New Roman"/>
          <w:sz w:val="24"/>
          <w:szCs w:val="24"/>
          <w:lang w:val="sr-Cyrl-RS" w:eastAsia="en-US"/>
        </w:rPr>
        <w:t xml:space="preserve">динара </w:t>
      </w:r>
      <w:bookmarkStart w:id="0" w:name="_Hlk492022883"/>
      <w:r>
        <w:rPr>
          <w:rFonts w:ascii="Times New Roman" w:hAnsi="Times New Roman"/>
          <w:sz w:val="24"/>
          <w:szCs w:val="24"/>
          <w:lang w:val="sr-Cyrl-CS" w:eastAsia="en-US"/>
        </w:rPr>
        <w:t xml:space="preserve">на текући рачун </w:t>
      </w:r>
      <w:r>
        <w:rPr>
          <w:rFonts w:ascii="Times New Roman" w:hAnsi="Times New Roman"/>
          <w:sz w:val="24"/>
          <w:szCs w:val="24"/>
          <w:lang w:val="ru-RU" w:eastAsia="en-US"/>
        </w:rPr>
        <w:t>Продавца</w:t>
      </w:r>
      <w:r>
        <w:rPr>
          <w:rFonts w:ascii="Times New Roman" w:hAnsi="Times New Roman"/>
          <w:sz w:val="24"/>
          <w:szCs w:val="24"/>
          <w:lang w:val="sr-Cyrl-CS" w:eastAsia="en-US"/>
        </w:rPr>
        <w:t xml:space="preserve"> број </w:t>
      </w:r>
      <w:bookmarkEnd w:id="0"/>
      <w:r>
        <w:rPr>
          <w:rFonts w:ascii="Times New Roman" w:hAnsi="Times New Roman" w:eastAsia="Calibri"/>
          <w:b/>
          <w:bCs/>
          <w:sz w:val="24"/>
          <w:szCs w:val="24"/>
          <w:lang w:val="sr-Cyrl-RS" w:eastAsia="en-US"/>
        </w:rPr>
        <w:t>325-9500700215246-89</w:t>
      </w:r>
      <w:r>
        <w:rPr>
          <w:rFonts w:ascii="Times New Roman" w:hAnsi="Times New Roman" w:eastAsia="Calibri"/>
          <w:b/>
          <w:bCs/>
          <w:sz w:val="24"/>
          <w:szCs w:val="24"/>
          <w:lang w:val="ru-RU" w:eastAsia="en-US"/>
        </w:rPr>
        <w:t xml:space="preserve"> </w:t>
      </w:r>
      <w:r>
        <w:rPr>
          <w:rFonts w:ascii="Times New Roman" w:hAnsi="Times New Roman" w:eastAsia="Calibri"/>
          <w:bCs/>
          <w:sz w:val="24"/>
          <w:szCs w:val="24"/>
          <w:lang w:val="ru-RU" w:eastAsia="en-US"/>
        </w:rPr>
        <w:t>који</w:t>
      </w:r>
      <w:r>
        <w:rPr>
          <w:rFonts w:ascii="Times New Roman" w:hAnsi="Times New Roman" w:eastAsia="Calibri"/>
          <w:b/>
          <w:bCs/>
          <w:sz w:val="24"/>
          <w:szCs w:val="24"/>
          <w:lang w:val="ru-RU" w:eastAsia="en-US"/>
        </w:rPr>
        <w:t xml:space="preserve"> </w:t>
      </w:r>
      <w:r>
        <w:rPr>
          <w:rFonts w:ascii="Times New Roman" w:hAnsi="Times New Roman" w:eastAsia="Calibri"/>
          <w:sz w:val="24"/>
          <w:szCs w:val="24"/>
          <w:lang w:val="ru-RU" w:eastAsia="en-US"/>
        </w:rPr>
        <w:t xml:space="preserve">се води код </w:t>
      </w:r>
      <w:r>
        <w:rPr>
          <w:rFonts w:ascii="Times New Roman" w:hAnsi="Times New Roman" w:eastAsia="Calibri"/>
          <w:sz w:val="24"/>
          <w:szCs w:val="24"/>
          <w:lang w:val="sr-Latn-RS" w:eastAsia="en-US"/>
        </w:rPr>
        <w:t>OTP Banke</w:t>
      </w:r>
      <w:r>
        <w:rPr>
          <w:rFonts w:ascii="Times New Roman" w:hAnsi="Times New Roman" w:eastAsia="Calibri"/>
          <w:sz w:val="24"/>
          <w:szCs w:val="24"/>
          <w:lang w:val="ru-RU" w:eastAsia="en-US"/>
        </w:rPr>
        <w:t xml:space="preserve"> ad Beograd</w:t>
      </w:r>
      <w:r>
        <w:rPr>
          <w:rFonts w:ascii="Times New Roman" w:hAnsi="Times New Roman"/>
          <w:sz w:val="24"/>
          <w:szCs w:val="24"/>
          <w:lang w:val="sr-Cyrl-CS" w:eastAsia="en-US"/>
        </w:rPr>
        <w:t xml:space="preserve"> </w:t>
      </w:r>
      <w:r>
        <w:rPr>
          <w:rFonts w:ascii="Times New Roman" w:hAnsi="Times New Roman"/>
          <w:bCs/>
          <w:sz w:val="24"/>
          <w:szCs w:val="24"/>
          <w:lang w:val="sr-Cyrl-CS" w:eastAsia="en-US"/>
        </w:rPr>
        <w:t>или</w:t>
      </w:r>
      <w:r>
        <w:rPr>
          <w:rFonts w:ascii="Times New Roman" w:hAnsi="Times New Roman"/>
          <w:b/>
          <w:sz w:val="24"/>
          <w:szCs w:val="24"/>
          <w:lang w:val="sr-Cyrl-CS" w:eastAsia="en-US"/>
        </w:rPr>
        <w:t xml:space="preserve"> </w:t>
      </w:r>
      <w:r>
        <w:rPr>
          <w:rFonts w:ascii="Times New Roman" w:hAnsi="Times New Roman"/>
          <w:sz w:val="24"/>
          <w:szCs w:val="24"/>
          <w:lang w:val="sr-Cyrl-CS" w:eastAsia="en-US"/>
        </w:rPr>
        <w:t xml:space="preserve">положе неопозиву првокласну банкарску гаранцију наплативу на први позив, најкасније </w:t>
      </w:r>
      <w:r>
        <w:rPr>
          <w:rFonts w:ascii="Times New Roman" w:hAnsi="Times New Roman"/>
          <w:b/>
          <w:sz w:val="24"/>
          <w:szCs w:val="24"/>
          <w:lang w:val="sr-Cyrl-RS" w:eastAsia="en-US"/>
        </w:rPr>
        <w:t xml:space="preserve">до </w:t>
      </w:r>
      <w:r>
        <w:rPr>
          <w:rFonts w:ascii="Times New Roman" w:hAnsi="Times New Roman"/>
          <w:b/>
          <w:sz w:val="24"/>
          <w:szCs w:val="24"/>
          <w:lang w:val="sr-Latn-RS" w:eastAsia="en-US"/>
        </w:rPr>
        <w:t>11</w:t>
      </w:r>
      <w:r>
        <w:rPr>
          <w:rFonts w:ascii="Times New Roman" w:hAnsi="Times New Roman"/>
          <w:b/>
          <w:sz w:val="24"/>
          <w:szCs w:val="24"/>
          <w:lang w:val="sr-Cyrl-RS" w:eastAsia="en-US"/>
        </w:rPr>
        <w:t>.</w:t>
      </w:r>
      <w:r>
        <w:rPr>
          <w:rFonts w:ascii="Times New Roman" w:hAnsi="Times New Roman"/>
          <w:b/>
          <w:sz w:val="24"/>
          <w:szCs w:val="24"/>
          <w:lang w:val="sr-Latn-RS" w:eastAsia="en-US"/>
        </w:rPr>
        <w:t>06</w:t>
      </w:r>
      <w:r>
        <w:rPr>
          <w:rFonts w:ascii="Times New Roman" w:hAnsi="Times New Roman"/>
          <w:b/>
          <w:sz w:val="24"/>
          <w:szCs w:val="24"/>
          <w:lang w:val="sr-Cyrl-RS" w:eastAsia="en-US"/>
        </w:rPr>
        <w:t>.202</w:t>
      </w:r>
      <w:r>
        <w:rPr>
          <w:rFonts w:ascii="Times New Roman" w:hAnsi="Times New Roman"/>
          <w:b/>
          <w:sz w:val="24"/>
          <w:szCs w:val="24"/>
          <w:lang w:val="sr-Latn-RS" w:eastAsia="en-US"/>
        </w:rPr>
        <w:t>5</w:t>
      </w:r>
      <w:r>
        <w:rPr>
          <w:rFonts w:ascii="Times New Roman" w:hAnsi="Times New Roman"/>
          <w:b/>
          <w:sz w:val="24"/>
          <w:szCs w:val="24"/>
          <w:lang w:val="sr-Cyrl-RS" w:eastAsia="en-US"/>
        </w:rPr>
        <w:t>. године</w:t>
      </w:r>
      <w:r>
        <w:rPr>
          <w:rFonts w:ascii="Times New Roman" w:hAnsi="Times New Roman"/>
          <w:sz w:val="24"/>
          <w:szCs w:val="24"/>
          <w:lang w:val="sr-Cyrl-CS" w:eastAsia="en-US"/>
        </w:rPr>
        <w:t>. У случају да се на име депозита положи првокласна банкарска гаранција, ор</w:t>
      </w:r>
      <w:r>
        <w:rPr>
          <w:rFonts w:ascii="Times New Roman" w:hAnsi="Times New Roman"/>
          <w:sz w:val="24"/>
          <w:szCs w:val="24"/>
          <w:lang w:eastAsia="en-US"/>
        </w:rPr>
        <w:t>и</w:t>
      </w:r>
      <w:r>
        <w:rPr>
          <w:rFonts w:ascii="Times New Roman" w:hAnsi="Times New Roman"/>
          <w:sz w:val="24"/>
          <w:szCs w:val="24"/>
          <w:lang w:val="sr-Cyrl-CS" w:eastAsia="en-US"/>
        </w:rPr>
        <w:t xml:space="preserve">гинал исте се ради провере мора доставити искључиво лично </w:t>
      </w:r>
      <w:r>
        <w:rPr>
          <w:rFonts w:ascii="Times New Roman" w:hAnsi="Times New Roman"/>
          <w:sz w:val="24"/>
          <w:szCs w:val="24"/>
          <w:lang w:val="sr-Cyrl-RS" w:eastAsia="en-US"/>
        </w:rPr>
        <w:t xml:space="preserve">стечајном управнику </w:t>
      </w:r>
      <w:r>
        <w:rPr>
          <w:rFonts w:ascii="Times New Roman" w:hAnsi="Times New Roman"/>
          <w:b/>
          <w:bCs/>
          <w:sz w:val="24"/>
          <w:szCs w:val="24"/>
          <w:lang w:val="sr-Cyrl-CS" w:eastAsia="en-US"/>
        </w:rPr>
        <w:t xml:space="preserve">најкасније </w:t>
      </w:r>
      <w:r>
        <w:rPr>
          <w:rFonts w:ascii="Times New Roman" w:hAnsi="Times New Roman"/>
          <w:b/>
          <w:bCs/>
          <w:sz w:val="24"/>
          <w:szCs w:val="24"/>
          <w:lang w:val="sr-Latn-RS" w:eastAsia="en-US"/>
        </w:rPr>
        <w:t>11</w:t>
      </w:r>
      <w:r>
        <w:rPr>
          <w:rFonts w:ascii="Times New Roman" w:hAnsi="Times New Roman"/>
          <w:b/>
          <w:bCs/>
          <w:sz w:val="24"/>
          <w:szCs w:val="24"/>
          <w:lang w:val="ru-RU" w:eastAsia="en-US"/>
        </w:rPr>
        <w:t>.</w:t>
      </w:r>
      <w:r>
        <w:rPr>
          <w:rFonts w:ascii="Times New Roman" w:hAnsi="Times New Roman"/>
          <w:b/>
          <w:bCs/>
          <w:sz w:val="24"/>
          <w:szCs w:val="24"/>
          <w:lang w:val="sr-Latn-RS" w:eastAsia="en-US"/>
        </w:rPr>
        <w:t>06</w:t>
      </w:r>
      <w:r>
        <w:rPr>
          <w:rFonts w:ascii="Times New Roman" w:hAnsi="Times New Roman"/>
          <w:b/>
          <w:bCs/>
          <w:sz w:val="24"/>
          <w:szCs w:val="24"/>
          <w:lang w:val="ru-RU" w:eastAsia="en-US"/>
        </w:rPr>
        <w:t>.20</w:t>
      </w:r>
      <w:r>
        <w:rPr>
          <w:rFonts w:ascii="Times New Roman" w:hAnsi="Times New Roman"/>
          <w:b/>
          <w:bCs/>
          <w:sz w:val="24"/>
          <w:szCs w:val="24"/>
          <w:lang w:val="sr-Cyrl-CS" w:eastAsia="en-US"/>
        </w:rPr>
        <w:t>2</w:t>
      </w:r>
      <w:r>
        <w:rPr>
          <w:rFonts w:ascii="Times New Roman" w:hAnsi="Times New Roman"/>
          <w:b/>
          <w:bCs/>
          <w:sz w:val="24"/>
          <w:szCs w:val="24"/>
          <w:lang w:val="sr-Latn-RS" w:eastAsia="en-US"/>
        </w:rPr>
        <w:t>5</w:t>
      </w:r>
      <w:r>
        <w:rPr>
          <w:rFonts w:ascii="Times New Roman" w:hAnsi="Times New Roman"/>
          <w:b/>
          <w:bCs/>
          <w:sz w:val="24"/>
          <w:szCs w:val="24"/>
          <w:lang w:val="sr-Cyrl-CS" w:eastAsia="en-US"/>
        </w:rPr>
        <w:t>. г</w:t>
      </w:r>
      <w:r>
        <w:rPr>
          <w:rFonts w:ascii="Times New Roman" w:hAnsi="Times New Roman"/>
          <w:b/>
          <w:bCs/>
          <w:sz w:val="24"/>
          <w:szCs w:val="24"/>
          <w:lang w:eastAsia="en-US"/>
        </w:rPr>
        <w:t>одине</w:t>
      </w:r>
      <w:r>
        <w:rPr>
          <w:rFonts w:ascii="Times New Roman" w:hAnsi="Times New Roman"/>
          <w:b/>
          <w:bCs/>
          <w:sz w:val="24"/>
          <w:szCs w:val="24"/>
          <w:lang w:val="sr-Cyrl-CS" w:eastAsia="en-US"/>
        </w:rPr>
        <w:t xml:space="preserve"> до 1</w:t>
      </w:r>
      <w:r>
        <w:rPr>
          <w:rFonts w:ascii="Times New Roman" w:hAnsi="Times New Roman"/>
          <w:b/>
          <w:bCs/>
          <w:sz w:val="24"/>
          <w:szCs w:val="24"/>
          <w:lang w:val="sr-Cyrl-RS" w:eastAsia="en-US"/>
        </w:rPr>
        <w:t>2</w:t>
      </w:r>
      <w:r>
        <w:rPr>
          <w:rFonts w:ascii="Times New Roman" w:hAnsi="Times New Roman"/>
          <w:b/>
          <w:bCs/>
          <w:sz w:val="24"/>
          <w:szCs w:val="24"/>
          <w:lang w:val="sr-Cyrl-CS" w:eastAsia="en-US"/>
        </w:rPr>
        <w:t>:00 часова</w:t>
      </w:r>
      <w:r>
        <w:rPr>
          <w:rFonts w:ascii="Times New Roman" w:hAnsi="Times New Roman"/>
          <w:sz w:val="24"/>
          <w:szCs w:val="24"/>
          <w:lang w:val="sr-Cyrl-CS" w:eastAsia="en-US"/>
        </w:rPr>
        <w:t xml:space="preserve">. У обзир ће се узети само банкарске гаранције које пристигну на назначену адресу у назначено време. Банкарска гаранција мора имати рок важења </w:t>
      </w:r>
      <w:r>
        <w:rPr>
          <w:rFonts w:ascii="Times New Roman" w:hAnsi="Times New Roman"/>
          <w:b/>
          <w:bCs/>
          <w:sz w:val="24"/>
          <w:szCs w:val="24"/>
          <w:lang w:val="sr-Cyrl-CS" w:eastAsia="en-US"/>
        </w:rPr>
        <w:t xml:space="preserve">до </w:t>
      </w:r>
      <w:bookmarkStart w:id="1" w:name="_Hlk493507623"/>
      <w:r>
        <w:rPr>
          <w:rFonts w:ascii="Times New Roman" w:hAnsi="Times New Roman"/>
          <w:b/>
          <w:bCs/>
          <w:sz w:val="24"/>
          <w:szCs w:val="24"/>
          <w:lang w:val="sr-Latn-RS" w:eastAsia="en-US"/>
        </w:rPr>
        <w:t>11</w:t>
      </w:r>
      <w:r>
        <w:rPr>
          <w:rFonts w:ascii="Times New Roman" w:hAnsi="Times New Roman"/>
          <w:b/>
          <w:bCs/>
          <w:sz w:val="24"/>
          <w:szCs w:val="24"/>
          <w:lang w:val="sr-Cyrl-CS" w:eastAsia="en-US"/>
        </w:rPr>
        <w:t>.0</w:t>
      </w:r>
      <w:r>
        <w:rPr>
          <w:rFonts w:ascii="Times New Roman" w:hAnsi="Times New Roman"/>
          <w:b/>
          <w:bCs/>
          <w:sz w:val="24"/>
          <w:szCs w:val="24"/>
          <w:lang w:val="sr-Latn-RS" w:eastAsia="en-US"/>
        </w:rPr>
        <w:t>9</w:t>
      </w:r>
      <w:r>
        <w:rPr>
          <w:rFonts w:ascii="Times New Roman" w:hAnsi="Times New Roman"/>
          <w:b/>
          <w:bCs/>
          <w:sz w:val="24"/>
          <w:szCs w:val="24"/>
          <w:lang w:val="sr-Cyrl-CS" w:eastAsia="en-US"/>
        </w:rPr>
        <w:t>.20</w:t>
      </w:r>
      <w:r>
        <w:rPr>
          <w:rFonts w:ascii="Times New Roman" w:hAnsi="Times New Roman"/>
          <w:b/>
          <w:bCs/>
          <w:sz w:val="24"/>
          <w:szCs w:val="24"/>
          <w:lang w:val="sr-Cyrl-RS" w:eastAsia="en-US"/>
        </w:rPr>
        <w:t>25</w:t>
      </w:r>
      <w:r>
        <w:rPr>
          <w:rFonts w:ascii="Times New Roman" w:hAnsi="Times New Roman"/>
          <w:b/>
          <w:bCs/>
          <w:sz w:val="24"/>
          <w:szCs w:val="24"/>
          <w:lang w:val="sr-Cyrl-CS" w:eastAsia="en-US"/>
        </w:rPr>
        <w:t xml:space="preserve">. </w:t>
      </w:r>
      <w:bookmarkEnd w:id="1"/>
      <w:r>
        <w:rPr>
          <w:rFonts w:ascii="Times New Roman" w:hAnsi="Times New Roman"/>
          <w:b/>
          <w:bCs/>
          <w:sz w:val="24"/>
          <w:szCs w:val="24"/>
          <w:lang w:val="sr-Cyrl-CS" w:eastAsia="en-US"/>
        </w:rPr>
        <w:t>године</w:t>
      </w:r>
      <w:r>
        <w:rPr>
          <w:rFonts w:ascii="Times New Roman" w:hAnsi="Times New Roman"/>
          <w:sz w:val="24"/>
          <w:szCs w:val="24"/>
          <w:lang w:val="sr-Cyrl-CS" w:eastAsia="en-US"/>
        </w:rPr>
        <w:t>;</w:t>
      </w:r>
    </w:p>
    <w:p w14:paraId="2073EE87">
      <w:pPr>
        <w:numPr>
          <w:ilvl w:val="0"/>
          <w:numId w:val="1"/>
        </w:numPr>
        <w:spacing w:after="0" w:line="240" w:lineRule="auto"/>
        <w:jc w:val="both"/>
        <w:rPr>
          <w:rFonts w:ascii="Times New Roman" w:hAnsi="Times New Roman"/>
          <w:sz w:val="24"/>
          <w:szCs w:val="24"/>
          <w:lang w:val="sr-Cyrl-CS" w:eastAsia="en-US"/>
        </w:rPr>
      </w:pPr>
      <w:r>
        <w:rPr>
          <w:rFonts w:ascii="Times New Roman" w:hAnsi="Times New Roman"/>
          <w:sz w:val="24"/>
          <w:szCs w:val="24"/>
          <w:lang w:val="sr-Cyrl-CS" w:eastAsia="en-US"/>
        </w:rPr>
        <w:t xml:space="preserve">потпишу изјаву о губитку права на повраћај </w:t>
      </w:r>
      <w:r>
        <w:rPr>
          <w:rFonts w:ascii="Times New Roman" w:hAnsi="Times New Roman"/>
          <w:sz w:val="24"/>
          <w:szCs w:val="24"/>
          <w:lang w:val="sr-Cyrl-RS" w:eastAsia="en-US"/>
        </w:rPr>
        <w:t>депозита</w:t>
      </w:r>
      <w:r>
        <w:rPr>
          <w:rFonts w:ascii="Times New Roman" w:hAnsi="Times New Roman"/>
          <w:sz w:val="24"/>
          <w:szCs w:val="24"/>
          <w:lang w:val="sr-Cyrl-CS" w:eastAsia="en-US"/>
        </w:rPr>
        <w:t>. Изјава чини саставни део продајне документације.</w:t>
      </w:r>
    </w:p>
    <w:p w14:paraId="1A926280">
      <w:pPr>
        <w:spacing w:after="0" w:line="240" w:lineRule="auto"/>
        <w:jc w:val="both"/>
        <w:rPr>
          <w:rFonts w:ascii="Times New Roman" w:hAnsi="Times New Roman"/>
          <w:sz w:val="24"/>
          <w:szCs w:val="24"/>
          <w:lang w:val="sr-Cyrl-RS" w:eastAsia="en-US"/>
        </w:rPr>
      </w:pPr>
    </w:p>
    <w:p w14:paraId="10B469B5">
      <w:pPr>
        <w:spacing w:after="0" w:line="240" w:lineRule="auto"/>
        <w:jc w:val="both"/>
        <w:rPr>
          <w:rFonts w:ascii="Times New Roman" w:hAnsi="Times New Roman"/>
          <w:sz w:val="24"/>
          <w:szCs w:val="24"/>
          <w:lang w:val="sr-Latn-RS" w:eastAsia="en-US"/>
        </w:rPr>
      </w:pPr>
      <w:r>
        <w:rPr>
          <w:rFonts w:ascii="Times New Roman" w:hAnsi="Times New Roman"/>
          <w:sz w:val="24"/>
          <w:szCs w:val="24"/>
          <w:lang w:val="sr-Cyrl-RS" w:eastAsia="en-US"/>
        </w:rPr>
        <w:t>Почетна цена на јавном надметању износиће 50% од процењене вредности, односно 6.736.349,25</w:t>
      </w:r>
      <w:r>
        <w:rPr>
          <w:rFonts w:ascii="Times New Roman" w:hAnsi="Times New Roman"/>
          <w:sz w:val="24"/>
          <w:szCs w:val="24"/>
          <w:lang w:val="sr-Latn-RS" w:eastAsia="en-US"/>
        </w:rPr>
        <w:t xml:space="preserve"> </w:t>
      </w:r>
    </w:p>
    <w:p w14:paraId="7623A4DF">
      <w:pPr>
        <w:spacing w:after="0" w:line="240" w:lineRule="auto"/>
        <w:jc w:val="both"/>
        <w:rPr>
          <w:rFonts w:ascii="Times New Roman" w:hAnsi="Times New Roman"/>
          <w:sz w:val="24"/>
          <w:szCs w:val="24"/>
          <w:lang w:val="sr-Latn-RS" w:eastAsia="en-US"/>
        </w:rPr>
      </w:pPr>
      <w:r>
        <w:rPr>
          <w:rFonts w:ascii="Times New Roman" w:hAnsi="Times New Roman"/>
          <w:sz w:val="24"/>
          <w:szCs w:val="24"/>
          <w:lang w:val="sr-Cyrl-RS" w:eastAsia="en-US"/>
        </w:rPr>
        <w:t>динара.</w:t>
      </w:r>
      <w:r>
        <w:rPr>
          <w:rFonts w:ascii="Times New Roman" w:hAnsi="Times New Roman"/>
          <w:sz w:val="24"/>
          <w:szCs w:val="24"/>
          <w:lang w:val="sr-Latn-RS" w:eastAsia="en-US"/>
        </w:rPr>
        <w:t xml:space="preserve"> </w:t>
      </w:r>
      <w:r>
        <w:rPr>
          <w:rFonts w:ascii="Times New Roman" w:hAnsi="Times New Roman"/>
          <w:sz w:val="24"/>
          <w:szCs w:val="24"/>
          <w:lang w:val="sr-Cyrl-RS" w:eastAsia="en-US"/>
        </w:rPr>
        <w:t>Лицитациони корак на првом надметању износиће</w:t>
      </w:r>
      <w:r>
        <w:rPr>
          <w:rFonts w:ascii="Times New Roman" w:hAnsi="Times New Roman"/>
          <w:sz w:val="24"/>
          <w:szCs w:val="24"/>
          <w:lang w:val="sr-Latn-RS" w:eastAsia="en-US"/>
        </w:rPr>
        <w:t xml:space="preserve"> 20</w:t>
      </w:r>
      <w:r>
        <w:rPr>
          <w:rFonts w:ascii="Times New Roman" w:hAnsi="Times New Roman"/>
          <w:sz w:val="24"/>
          <w:szCs w:val="24"/>
          <w:lang w:val="sr-Cyrl-RS" w:eastAsia="en-US"/>
        </w:rPr>
        <w:t>0.000,00 динара.</w:t>
      </w:r>
    </w:p>
    <w:p w14:paraId="50F2683A">
      <w:pPr>
        <w:pStyle w:val="6"/>
        <w:ind w:left="720"/>
        <w:jc w:val="both"/>
        <w:rPr>
          <w:rFonts w:ascii="Times New Roman" w:hAnsi="Times New Roman"/>
          <w:bCs/>
          <w:lang w:val="sr-Cyrl-RS"/>
        </w:rPr>
      </w:pPr>
    </w:p>
    <w:p w14:paraId="7E95560E">
      <w:pPr>
        <w:pStyle w:val="6"/>
        <w:jc w:val="both"/>
        <w:rPr>
          <w:rFonts w:ascii="Times New Roman" w:hAnsi="Times New Roman"/>
        </w:rPr>
      </w:pPr>
      <w:r>
        <w:rPr>
          <w:rFonts w:ascii="Times New Roman" w:hAnsi="Times New Roman"/>
          <w:lang w:val="sr-Cyrl-CS"/>
        </w:rPr>
        <w:t xml:space="preserve">Након уплате депозита, а најкасније до </w:t>
      </w:r>
      <w:r>
        <w:rPr>
          <w:rFonts w:ascii="Times New Roman" w:hAnsi="Times New Roman"/>
          <w:lang w:val="sr-Latn-RS"/>
        </w:rPr>
        <w:t>12</w:t>
      </w:r>
      <w:r>
        <w:rPr>
          <w:rFonts w:ascii="Times New Roman" w:hAnsi="Times New Roman"/>
          <w:lang w:val="sr-Cyrl-CS"/>
        </w:rPr>
        <w:t>.</w:t>
      </w:r>
      <w:r>
        <w:rPr>
          <w:rFonts w:ascii="Times New Roman" w:hAnsi="Times New Roman"/>
          <w:lang w:val="sr-Latn-RS"/>
        </w:rPr>
        <w:t>06</w:t>
      </w:r>
      <w:r>
        <w:rPr>
          <w:rFonts w:ascii="Times New Roman" w:hAnsi="Times New Roman"/>
          <w:lang w:val="sr-Cyrl-CS"/>
        </w:rPr>
        <w:t>.202</w:t>
      </w:r>
      <w:r>
        <w:rPr>
          <w:rFonts w:ascii="Times New Roman" w:hAnsi="Times New Roman"/>
          <w:lang w:val="sr-Latn-RS"/>
        </w:rPr>
        <w:t>5</w:t>
      </w:r>
      <w:r>
        <w:rPr>
          <w:rFonts w:ascii="Times New Roman" w:hAnsi="Times New Roman"/>
          <w:lang w:val="sr-Cyrl-CS"/>
        </w:rPr>
        <w:t>. год., потенцијални купци, ради правовремене евиденције, морају предати стечајном управнику: попуњен образац пријаве за учешће на јавном надметању, доказ о уплати депозита или копију банкарске гаранције, потписану изјаву о губитку права на повраћај депозита, извод из регистра привредних субјеката, овлашћење за заступање уколико јавном надметању не присуствује потенцијални купац лично</w:t>
      </w:r>
      <w:r>
        <w:rPr>
          <w:rFonts w:ascii="Times New Roman" w:hAnsi="Times New Roman"/>
        </w:rPr>
        <w:t>.</w:t>
      </w:r>
    </w:p>
    <w:p w14:paraId="421340E3">
      <w:pPr>
        <w:pStyle w:val="6"/>
        <w:jc w:val="both"/>
        <w:rPr>
          <w:rFonts w:ascii="Times New Roman" w:hAnsi="Times New Roman"/>
          <w:lang w:val="sr-Cyrl-CS"/>
        </w:rPr>
      </w:pPr>
    </w:p>
    <w:p w14:paraId="0C88DCE7">
      <w:pPr>
        <w:pStyle w:val="6"/>
        <w:jc w:val="both"/>
        <w:rPr>
          <w:rFonts w:ascii="Times New Roman" w:hAnsi="Times New Roman"/>
        </w:rPr>
      </w:pPr>
      <w:r>
        <w:rPr>
          <w:rFonts w:ascii="Times New Roman" w:hAnsi="Times New Roman"/>
        </w:rPr>
        <w:t xml:space="preserve">Јавно надметање одржаће се дана 13.06.2025. године у 13,00 часова на следећој адреси: Београд; Ул. Мутапова бр. 20; локал 4 (у приземљу зграде). Регистрација учесника почиње у 11,00 часова, а завршава се у 12,50 часова. </w:t>
      </w:r>
    </w:p>
    <w:p w14:paraId="04FCD6D8">
      <w:pPr>
        <w:pStyle w:val="6"/>
        <w:jc w:val="both"/>
        <w:rPr>
          <w:rFonts w:ascii="Times New Roman" w:hAnsi="Times New Roman"/>
        </w:rPr>
      </w:pPr>
    </w:p>
    <w:p w14:paraId="4C9C1391">
      <w:pPr>
        <w:pStyle w:val="6"/>
        <w:jc w:val="both"/>
        <w:rPr>
          <w:rFonts w:ascii="Times New Roman" w:hAnsi="Times New Roman"/>
          <w:lang w:val="sr-Cyrl-CS"/>
        </w:rPr>
      </w:pPr>
      <w:r>
        <w:rPr>
          <w:rFonts w:ascii="Times New Roman" w:hAnsi="Times New Roman"/>
          <w:lang w:val="sr-Cyrl-CS"/>
        </w:rPr>
        <w:t>Стечајни управник или лице које овласти спроводи јавно надметање тако што:</w:t>
      </w:r>
    </w:p>
    <w:p w14:paraId="1AA78C87">
      <w:pPr>
        <w:pStyle w:val="6"/>
        <w:numPr>
          <w:ilvl w:val="0"/>
          <w:numId w:val="2"/>
        </w:numPr>
        <w:jc w:val="both"/>
        <w:rPr>
          <w:rFonts w:ascii="Times New Roman" w:hAnsi="Times New Roman"/>
          <w:lang w:val="sr-Cyrl-CS"/>
        </w:rPr>
      </w:pPr>
      <w:r>
        <w:rPr>
          <w:rFonts w:ascii="Times New Roman" w:hAnsi="Times New Roman"/>
          <w:lang w:val="sr-Cyrl-CS"/>
        </w:rPr>
        <w:t>региструје лица која имају право учешћа на јавном надметању (имају овлашћења или су лично присутни),</w:t>
      </w:r>
    </w:p>
    <w:p w14:paraId="28C6CB45">
      <w:pPr>
        <w:pStyle w:val="6"/>
        <w:numPr>
          <w:ilvl w:val="0"/>
          <w:numId w:val="2"/>
        </w:numPr>
        <w:jc w:val="both"/>
        <w:rPr>
          <w:rFonts w:ascii="Times New Roman" w:hAnsi="Times New Roman"/>
          <w:lang w:val="sr-Cyrl-CS"/>
        </w:rPr>
      </w:pPr>
      <w:r>
        <w:rPr>
          <w:rFonts w:ascii="Times New Roman" w:hAnsi="Times New Roman"/>
          <w:lang w:val="sr-Cyrl-CS"/>
        </w:rPr>
        <w:t>отвара јавно надметање читајући правила надметања,</w:t>
      </w:r>
    </w:p>
    <w:p w14:paraId="6D70E0B1">
      <w:pPr>
        <w:pStyle w:val="6"/>
        <w:numPr>
          <w:ilvl w:val="0"/>
          <w:numId w:val="2"/>
        </w:numPr>
        <w:jc w:val="both"/>
        <w:rPr>
          <w:rFonts w:ascii="Times New Roman" w:hAnsi="Times New Roman"/>
          <w:lang w:val="sr-Cyrl-CS"/>
        </w:rPr>
      </w:pPr>
      <w:r>
        <w:rPr>
          <w:rFonts w:ascii="Times New Roman" w:hAnsi="Times New Roman"/>
          <w:lang w:val="sr-Cyrl-CS"/>
        </w:rPr>
        <w:t>позива учеснике да истакну понуду на оглашену цену, коју су спремни да плате,</w:t>
      </w:r>
    </w:p>
    <w:p w14:paraId="1E68E335">
      <w:pPr>
        <w:pStyle w:val="6"/>
        <w:numPr>
          <w:ilvl w:val="0"/>
          <w:numId w:val="2"/>
        </w:numPr>
        <w:jc w:val="both"/>
        <w:rPr>
          <w:rFonts w:ascii="Times New Roman" w:hAnsi="Times New Roman"/>
          <w:lang w:val="sr-Cyrl-CS"/>
        </w:rPr>
      </w:pPr>
      <w:r>
        <w:rPr>
          <w:rFonts w:ascii="Times New Roman" w:hAnsi="Times New Roman"/>
          <w:lang w:val="sr-Cyrl-CS"/>
        </w:rPr>
        <w:t>одржава ред на јавном надметању,</w:t>
      </w:r>
    </w:p>
    <w:p w14:paraId="38E13A4D">
      <w:pPr>
        <w:pStyle w:val="6"/>
        <w:numPr>
          <w:ilvl w:val="0"/>
          <w:numId w:val="2"/>
        </w:numPr>
        <w:jc w:val="both"/>
        <w:rPr>
          <w:rFonts w:ascii="Times New Roman" w:hAnsi="Times New Roman"/>
          <w:lang w:val="sr-Cyrl-CS"/>
        </w:rPr>
      </w:pPr>
      <w:r>
        <w:rPr>
          <w:rFonts w:ascii="Times New Roman" w:hAnsi="Times New Roman"/>
          <w:lang w:val="sr-Cyrl-CS"/>
        </w:rPr>
        <w:t>проглашава купца када ниједна друга странка не истакне већу цену од последње понуђене цене,</w:t>
      </w:r>
    </w:p>
    <w:p w14:paraId="338671D7">
      <w:pPr>
        <w:pStyle w:val="6"/>
        <w:numPr>
          <w:ilvl w:val="0"/>
          <w:numId w:val="2"/>
        </w:numPr>
        <w:jc w:val="both"/>
        <w:rPr>
          <w:rFonts w:ascii="Times New Roman" w:hAnsi="Times New Roman"/>
          <w:lang w:val="sr-Cyrl-CS"/>
        </w:rPr>
      </w:pPr>
      <w:r>
        <w:rPr>
          <w:rFonts w:ascii="Times New Roman" w:hAnsi="Times New Roman"/>
          <w:lang w:val="sr-Cyrl-CS"/>
        </w:rPr>
        <w:t>потписује записник.</w:t>
      </w:r>
    </w:p>
    <w:p w14:paraId="6A787E7F">
      <w:pPr>
        <w:pStyle w:val="6"/>
        <w:ind w:left="720"/>
        <w:jc w:val="both"/>
        <w:rPr>
          <w:rFonts w:ascii="Times New Roman" w:hAnsi="Times New Roman"/>
          <w:lang w:val="sr-Cyrl-CS"/>
        </w:rPr>
      </w:pPr>
    </w:p>
    <w:p w14:paraId="0BA282EE">
      <w:pPr>
        <w:pStyle w:val="6"/>
        <w:jc w:val="both"/>
        <w:rPr>
          <w:rFonts w:ascii="Times New Roman" w:hAnsi="Times New Roman"/>
          <w:lang w:val="sr-Latn-RS"/>
        </w:rPr>
      </w:pPr>
      <w:r>
        <w:rPr>
          <w:rFonts w:ascii="Times New Roman" w:hAnsi="Times New Roman"/>
          <w:u w:val="single"/>
          <w:lang w:val="sr-Cyrl-CS"/>
        </w:rPr>
        <w:t>У случају да на јавном надметању победи купац који је депозит обезбедио банкарском гаранцијом, исти мора уплатити износ депозита на рачун стечајног дужника у року од два радна дана од дана јавног надметања, а пре потписивања купопродајног уговора, након чега ће му бити враћена гаранција</w:t>
      </w:r>
      <w:r>
        <w:rPr>
          <w:rFonts w:ascii="Times New Roman" w:hAnsi="Times New Roman"/>
          <w:lang w:val="sr-Cyrl-CS"/>
        </w:rPr>
        <w:t>.</w:t>
      </w:r>
    </w:p>
    <w:p w14:paraId="2B581894">
      <w:pPr>
        <w:pStyle w:val="6"/>
        <w:jc w:val="both"/>
        <w:rPr>
          <w:rFonts w:ascii="Times New Roman" w:hAnsi="Times New Roman"/>
          <w:lang w:val="sr-Latn-RS"/>
        </w:rPr>
      </w:pPr>
    </w:p>
    <w:p w14:paraId="5AC782C6">
      <w:pPr>
        <w:pStyle w:val="6"/>
        <w:jc w:val="both"/>
        <w:rPr>
          <w:rFonts w:ascii="Times New Roman" w:hAnsi="Times New Roman"/>
          <w:lang w:val="sr-Latn-RS"/>
        </w:rPr>
      </w:pPr>
      <w:r>
        <w:rPr>
          <w:rFonts w:ascii="Times New Roman" w:hAnsi="Times New Roman"/>
          <w:lang w:val="sr-Cyrl-CS"/>
        </w:rPr>
        <w:t>Након стицања потребних услова, стечајни управник са проглашеним купцем закључује уговор о купопродаји и након тога сачињава записник о примопредаји предмета купопродаје.</w:t>
      </w:r>
    </w:p>
    <w:p w14:paraId="25B5FA67">
      <w:pPr>
        <w:pStyle w:val="6"/>
        <w:jc w:val="both"/>
        <w:rPr>
          <w:rFonts w:ascii="Times New Roman" w:hAnsi="Times New Roman"/>
          <w:lang w:val="sr-Latn-RS"/>
        </w:rPr>
      </w:pPr>
    </w:p>
    <w:p w14:paraId="68A154A5">
      <w:pPr>
        <w:pStyle w:val="6"/>
        <w:jc w:val="both"/>
        <w:rPr>
          <w:rFonts w:ascii="Times New Roman" w:hAnsi="Times New Roman"/>
          <w:lang w:val="sr-Latn-RS"/>
        </w:rPr>
      </w:pPr>
      <w:r>
        <w:rPr>
          <w:rFonts w:ascii="Times New Roman" w:hAnsi="Times New Roman"/>
          <w:lang w:val="sr-Cyrl-CS"/>
        </w:rPr>
        <w:t>Проглашени купац је у обавези да укупну купопродајну цену, а коју је прихватио у поступку јавног надметања уплати на рачун стечајног дужника у року од 15 дана од дана закључења купопродајног уговора.</w:t>
      </w:r>
    </w:p>
    <w:p w14:paraId="71B9734D">
      <w:pPr>
        <w:pStyle w:val="6"/>
        <w:jc w:val="both"/>
        <w:rPr>
          <w:rFonts w:ascii="Times New Roman" w:hAnsi="Times New Roman"/>
          <w:lang w:val="sr-Latn-RS"/>
        </w:rPr>
      </w:pPr>
    </w:p>
    <w:p w14:paraId="04AFE96D">
      <w:pPr>
        <w:pStyle w:val="6"/>
        <w:jc w:val="both"/>
        <w:rPr>
          <w:rFonts w:ascii="Times New Roman" w:hAnsi="Times New Roman"/>
          <w:lang w:val="sr-Latn-RS"/>
        </w:rPr>
      </w:pPr>
      <w:r>
        <w:rPr>
          <w:rFonts w:ascii="Times New Roman" w:hAnsi="Times New Roman"/>
          <w:lang w:val="sr-Cyrl-CS"/>
        </w:rPr>
        <w:t>Ако проглашени купац не уплати купопродајну цену у прописаним роковима и на прописан начин, губи право на повраћај депозита, а за купца се проглашава други најбољи понуђач у поступку јавног надметања након стицања услова одређених Законом. Други најбољи понуђач је лице које је у односу на проглашену купопродајну цену било другорангирани понуђач. Уколико није било таквог лица, други најбољи понуђач је оно лице које је у току поступка продаје, у односу на остале понуђаче, прво понудило највишу цену Други најбољи понуђач има иста права и обавезе као проглашени купац.</w:t>
      </w:r>
    </w:p>
    <w:p w14:paraId="3AE94780">
      <w:pPr>
        <w:pStyle w:val="6"/>
        <w:jc w:val="both"/>
        <w:rPr>
          <w:rFonts w:ascii="Times New Roman" w:hAnsi="Times New Roman"/>
          <w:lang w:val="sr-Latn-RS"/>
        </w:rPr>
      </w:pPr>
    </w:p>
    <w:p w14:paraId="25D03AB3">
      <w:pPr>
        <w:pStyle w:val="6"/>
        <w:jc w:val="both"/>
        <w:rPr>
          <w:rFonts w:ascii="Times New Roman" w:hAnsi="Times New Roman"/>
          <w:lang w:val="sr-Latn-RS"/>
        </w:rPr>
      </w:pPr>
      <w:r>
        <w:rPr>
          <w:rFonts w:ascii="Times New Roman" w:hAnsi="Times New Roman"/>
          <w:lang w:val="sr-Cyrl-CS"/>
        </w:rPr>
        <w:t>Стечајни управник враћа депозит свим учесницима јавног надметања осим проглашеном купцу и другом најбољем понуђачу у року од осам дана од дана завршетка јавног надметања, Стечајни управник не враћа депозит учесницима који су изгубили право на повраћај депозита.</w:t>
      </w:r>
    </w:p>
    <w:p w14:paraId="28BC30AD">
      <w:pPr>
        <w:pStyle w:val="6"/>
        <w:jc w:val="both"/>
        <w:rPr>
          <w:rFonts w:ascii="Times New Roman" w:hAnsi="Times New Roman"/>
          <w:lang w:val="sr-Latn-RS"/>
        </w:rPr>
      </w:pPr>
    </w:p>
    <w:p w14:paraId="212555FB">
      <w:pPr>
        <w:pStyle w:val="6"/>
        <w:jc w:val="both"/>
        <w:rPr>
          <w:rFonts w:ascii="Times New Roman" w:hAnsi="Times New Roman"/>
          <w:lang w:val="sr-Latn-RS"/>
        </w:rPr>
      </w:pPr>
      <w:r>
        <w:rPr>
          <w:rFonts w:ascii="Times New Roman" w:hAnsi="Times New Roman"/>
          <w:lang w:val="sr-Cyrl-CS"/>
        </w:rPr>
        <w:t xml:space="preserve">Сва имовина предмета продаје се у виђеном стању, без права купца на накнадну рекламацију и подношење тужбе по било ком основу. </w:t>
      </w:r>
    </w:p>
    <w:p w14:paraId="779158B7">
      <w:pPr>
        <w:pStyle w:val="6"/>
        <w:jc w:val="both"/>
        <w:rPr>
          <w:rFonts w:ascii="Times New Roman" w:hAnsi="Times New Roman"/>
          <w:lang w:val="sr-Latn-RS"/>
        </w:rPr>
      </w:pPr>
    </w:p>
    <w:p w14:paraId="358FEC87">
      <w:pPr>
        <w:pStyle w:val="6"/>
        <w:jc w:val="both"/>
        <w:rPr>
          <w:rFonts w:ascii="Times New Roman" w:hAnsi="Times New Roman"/>
          <w:bCs/>
          <w:lang w:val="sr-Latn-RS"/>
        </w:rPr>
      </w:pPr>
      <w:r>
        <w:rPr>
          <w:rFonts w:ascii="Times New Roman" w:hAnsi="Times New Roman"/>
          <w:bCs/>
          <w:lang w:val="sr-Cyrl-CS"/>
        </w:rPr>
        <w:t>Припадајући порези и трошкови који произилазе из закљученог купопродајног уговора у целости сноси купац.</w:t>
      </w:r>
    </w:p>
    <w:p w14:paraId="2365D382">
      <w:pPr>
        <w:pStyle w:val="6"/>
        <w:jc w:val="both"/>
        <w:rPr>
          <w:rFonts w:ascii="Times New Roman" w:hAnsi="Times New Roman"/>
          <w:lang w:val="sr-Latn-RS"/>
        </w:rPr>
      </w:pPr>
    </w:p>
    <w:p w14:paraId="6D71C15F">
      <w:pPr>
        <w:pStyle w:val="6"/>
        <w:jc w:val="both"/>
        <w:rPr>
          <w:rFonts w:ascii="Times New Roman" w:hAnsi="Times New Roman"/>
          <w:lang w:val="sr-Latn-RS"/>
        </w:rPr>
      </w:pPr>
      <w:r>
        <w:rPr>
          <w:rFonts w:ascii="Times New Roman" w:hAnsi="Times New Roman"/>
          <w:lang w:val="sr-Cyrl-CS"/>
        </w:rPr>
        <w:t>У случају да за купца у поступку продаје буде проглашено лице које подлеже обавези подношења пријаве конкуренције, сходно одредбама Закона о заштити конкуренције („Сл. гласник РС“ бр. 51/2009), услови и рокови закључења уговора биће прилагођени роковима одлучивања Комисије за заштиту конкуренције. У наведеном случају проглашеном купцу банкарска гаранција ће бити наплаћена у року предвиђеним огласом, односно депозит ће бити задржан до доношења одлуке Комисије за заштиту конкуренције. Другом најповољнијем понуђачу депозит или банкарска гаранција (уколико је износ депозита обезбеђен гаранцијом) биће задржани до доношења одлуке Комисије за заштиту конкуренције по поднетој пријави купца.</w:t>
      </w:r>
    </w:p>
    <w:p w14:paraId="0FAD9A30">
      <w:pPr>
        <w:pStyle w:val="6"/>
        <w:jc w:val="both"/>
        <w:rPr>
          <w:rFonts w:ascii="Times New Roman" w:hAnsi="Times New Roman"/>
          <w:lang w:val="sr-Latn-RS"/>
        </w:rPr>
      </w:pPr>
    </w:p>
    <w:p w14:paraId="45869D93">
      <w:pPr>
        <w:pStyle w:val="6"/>
        <w:jc w:val="both"/>
        <w:rPr>
          <w:rFonts w:ascii="Times New Roman" w:hAnsi="Times New Roman"/>
          <w:lang w:val="sr-Cyrl-RS"/>
        </w:rPr>
      </w:pPr>
      <w:r>
        <w:rPr>
          <w:rFonts w:ascii="Times New Roman" w:hAnsi="Times New Roman"/>
          <w:lang w:val="sr-Cyrl-RS"/>
        </w:rPr>
        <w:t>Свим потенцијалним купцима стечајни управник ће омогућити разгледање непокретности дана 10.06.2025. године у периоду од 12,00 до 15,00 часова уз претходну најаву стечајном управнику и у присуству правног заступника непосредног држаоца непокретности.</w:t>
      </w:r>
    </w:p>
    <w:p w14:paraId="40143A8B">
      <w:pPr>
        <w:pStyle w:val="6"/>
        <w:rPr>
          <w:rFonts w:ascii="Times New Roman" w:hAnsi="Times New Roman"/>
          <w:lang w:val="sr-Cyrl-CS"/>
        </w:rPr>
      </w:pPr>
    </w:p>
    <w:p w14:paraId="6316C906">
      <w:pPr>
        <w:pStyle w:val="6"/>
        <w:jc w:val="both"/>
        <w:rPr>
          <w:rFonts w:ascii="Times New Roman" w:hAnsi="Times New Roman"/>
          <w:sz w:val="24"/>
          <w:szCs w:val="24"/>
        </w:rPr>
      </w:pPr>
      <w:r>
        <w:rPr>
          <w:rFonts w:ascii="Times New Roman" w:hAnsi="Times New Roman"/>
          <w:lang w:val="sr-Cyrl-CS"/>
        </w:rPr>
        <w:t xml:space="preserve">Овлашћено лице: стечајни управник Душан Ђукић, тел. 011/242-5004 или 063/282-981, електронска пошта: </w:t>
      </w:r>
      <w:r>
        <w:fldChar w:fldCharType="begin"/>
      </w:r>
      <w:r>
        <w:instrText xml:space="preserve"> HYPERLINK "mailto:d.djukic.pritoka@gmail.com" </w:instrText>
      </w:r>
      <w:r>
        <w:fldChar w:fldCharType="separate"/>
      </w:r>
      <w:r>
        <w:rPr>
          <w:rStyle w:val="5"/>
          <w:rFonts w:ascii="Times New Roman" w:hAnsi="Times New Roman"/>
          <w:lang w:val="sr-Cyrl-CS"/>
        </w:rPr>
        <w:t>d.djukic.pritoka@gmail.com</w:t>
      </w:r>
      <w:r>
        <w:rPr>
          <w:rStyle w:val="5"/>
          <w:rFonts w:ascii="Times New Roman" w:hAnsi="Times New Roman"/>
          <w:lang w:val="sr-Cyrl-CS"/>
        </w:rPr>
        <w:fldChar w:fldCharType="end"/>
      </w:r>
      <w:r>
        <w:rPr>
          <w:rFonts w:ascii="Times New Roman" w:hAnsi="Times New Roman"/>
        </w:rPr>
        <w:t>.</w:t>
      </w:r>
    </w:p>
    <w:p w14:paraId="7C2AE5E9"/>
    <w:sectPr>
      <w:footerReference r:id="rId5" w:type="default"/>
      <w:pgSz w:w="11906" w:h="16838"/>
      <w:pgMar w:top="851" w:right="964" w:bottom="851" w:left="964" w:header="709" w:footer="709"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Calibri">
    <w:panose1 w:val="020F0502020204030204"/>
    <w:charset w:val="00"/>
    <w:family w:val="auto"/>
    <w:pitch w:val="default"/>
    <w:sig w:usb0="E4002EFF" w:usb1="C000247B" w:usb2="00000009" w:usb3="00000000" w:csb0="200001FF" w:csb1="00000000"/>
  </w:font>
  <w:font w:name="Symbol">
    <w:panose1 w:val="050501020107060205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43ED1F">
    <w:pPr>
      <w:pStyle w:val="4"/>
      <w:jc w:val="center"/>
      <w:rPr>
        <w:rFonts w:ascii="Times New Roman" w:hAnsi="Times New Roman"/>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77A13EA"/>
    <w:multiLevelType w:val="multilevel"/>
    <w:tmpl w:val="377A13EA"/>
    <w:lvl w:ilvl="0" w:tentative="0">
      <w:start w:val="0"/>
      <w:numFmt w:val="bullet"/>
      <w:lvlText w:val="-"/>
      <w:lvlJc w:val="left"/>
      <w:pPr>
        <w:ind w:left="720" w:hanging="360"/>
      </w:pPr>
      <w:rPr>
        <w:rFonts w:hint="default" w:ascii="Calibri" w:hAnsi="Calibri" w:eastAsia="Times New Roman"/>
      </w:rPr>
    </w:lvl>
    <w:lvl w:ilvl="1" w:tentative="0">
      <w:start w:val="1"/>
      <w:numFmt w:val="bullet"/>
      <w:lvlText w:val="o"/>
      <w:lvlJc w:val="left"/>
      <w:pPr>
        <w:ind w:left="1440" w:hanging="360"/>
      </w:pPr>
      <w:rPr>
        <w:rFonts w:hint="default" w:ascii="Courier New" w:hAnsi="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rPr>
    </w:lvl>
    <w:lvl w:ilvl="8" w:tentative="0">
      <w:start w:val="1"/>
      <w:numFmt w:val="bullet"/>
      <w:lvlText w:val=""/>
      <w:lvlJc w:val="left"/>
      <w:pPr>
        <w:ind w:left="6480" w:hanging="360"/>
      </w:pPr>
      <w:rPr>
        <w:rFonts w:hint="default" w:ascii="Wingdings" w:hAnsi="Wingdings"/>
      </w:rPr>
    </w:lvl>
  </w:abstractNum>
  <w:abstractNum w:abstractNumId="1">
    <w:nsid w:val="3C733534"/>
    <w:multiLevelType w:val="multilevel"/>
    <w:tmpl w:val="3C733534"/>
    <w:lvl w:ilvl="0" w:tentative="0">
      <w:start w:val="1"/>
      <w:numFmt w:val="decimal"/>
      <w:lvlText w:val="%1."/>
      <w:lvlJc w:val="left"/>
      <w:pPr>
        <w:ind w:left="360" w:hanging="360"/>
      </w:pPr>
    </w:lvl>
    <w:lvl w:ilvl="1" w:tentative="0">
      <w:start w:val="1"/>
      <w:numFmt w:val="lowerLetter"/>
      <w:lvlText w:val="%2."/>
      <w:lvlJc w:val="left"/>
      <w:pPr>
        <w:ind w:left="1080" w:hanging="360"/>
      </w:pPr>
    </w:lvl>
    <w:lvl w:ilvl="2" w:tentative="0">
      <w:start w:val="1"/>
      <w:numFmt w:val="lowerRoman"/>
      <w:lvlText w:val="%3."/>
      <w:lvlJc w:val="right"/>
      <w:pPr>
        <w:ind w:left="1800" w:hanging="180"/>
      </w:pPr>
    </w:lvl>
    <w:lvl w:ilvl="3" w:tentative="0">
      <w:start w:val="1"/>
      <w:numFmt w:val="decimal"/>
      <w:lvlText w:val="%4."/>
      <w:lvlJc w:val="left"/>
      <w:pPr>
        <w:ind w:left="2520" w:hanging="360"/>
      </w:pPr>
    </w:lvl>
    <w:lvl w:ilvl="4" w:tentative="0">
      <w:start w:val="1"/>
      <w:numFmt w:val="lowerLetter"/>
      <w:lvlText w:val="%5."/>
      <w:lvlJc w:val="left"/>
      <w:pPr>
        <w:ind w:left="3240" w:hanging="360"/>
      </w:pPr>
    </w:lvl>
    <w:lvl w:ilvl="5" w:tentative="0">
      <w:start w:val="1"/>
      <w:numFmt w:val="lowerRoman"/>
      <w:lvlText w:val="%6."/>
      <w:lvlJc w:val="right"/>
      <w:pPr>
        <w:ind w:left="3960" w:hanging="180"/>
      </w:pPr>
    </w:lvl>
    <w:lvl w:ilvl="6" w:tentative="0">
      <w:start w:val="1"/>
      <w:numFmt w:val="decimal"/>
      <w:lvlText w:val="%7."/>
      <w:lvlJc w:val="left"/>
      <w:pPr>
        <w:ind w:left="4680" w:hanging="360"/>
      </w:pPr>
    </w:lvl>
    <w:lvl w:ilvl="7" w:tentative="0">
      <w:start w:val="1"/>
      <w:numFmt w:val="lowerLetter"/>
      <w:lvlText w:val="%8."/>
      <w:lvlJc w:val="left"/>
      <w:pPr>
        <w:ind w:left="5400" w:hanging="360"/>
      </w:pPr>
    </w:lvl>
    <w:lvl w:ilvl="8" w:tentative="0">
      <w:start w:val="1"/>
      <w:numFmt w:val="lowerRoman"/>
      <w:lvlText w:val="%9."/>
      <w:lvlJc w:val="right"/>
      <w:pPr>
        <w:ind w:left="612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20"/>
  <w:hyphenationZone w:val="425"/>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5B"/>
    <w:rsid w:val="00033BCD"/>
    <w:rsid w:val="000A1ED2"/>
    <w:rsid w:val="000E37C3"/>
    <w:rsid w:val="000F64D7"/>
    <w:rsid w:val="0011554F"/>
    <w:rsid w:val="001379B0"/>
    <w:rsid w:val="00252143"/>
    <w:rsid w:val="00302BF2"/>
    <w:rsid w:val="00394C03"/>
    <w:rsid w:val="00486687"/>
    <w:rsid w:val="00564459"/>
    <w:rsid w:val="005D4CE3"/>
    <w:rsid w:val="005D73E3"/>
    <w:rsid w:val="008540F7"/>
    <w:rsid w:val="00905467"/>
    <w:rsid w:val="009E5A93"/>
    <w:rsid w:val="00A71E97"/>
    <w:rsid w:val="00AC1DAE"/>
    <w:rsid w:val="00AD022F"/>
    <w:rsid w:val="00D332B0"/>
    <w:rsid w:val="00E20D5B"/>
    <w:rsid w:val="00E53C4E"/>
    <w:rsid w:val="00EA7098"/>
    <w:rsid w:val="00FA54A4"/>
    <w:rsid w:val="15070C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200" w:line="276" w:lineRule="auto"/>
    </w:pPr>
    <w:rPr>
      <w:rFonts w:ascii="Calibri" w:hAnsi="Calibri" w:eastAsia="Times New Roman" w:cs="Times New Roman"/>
      <w:sz w:val="22"/>
      <w:szCs w:val="22"/>
      <w:lang w:val="sr-Latn-CS" w:eastAsia="sr-Latn-CS" w:bidi="ar-SA"/>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4">
    <w:name w:val="footer"/>
    <w:basedOn w:val="1"/>
    <w:link w:val="7"/>
    <w:qFormat/>
    <w:uiPriority w:val="99"/>
    <w:pPr>
      <w:tabs>
        <w:tab w:val="center" w:pos="4703"/>
        <w:tab w:val="right" w:pos="9406"/>
      </w:tabs>
      <w:spacing w:after="0" w:line="240" w:lineRule="auto"/>
    </w:pPr>
  </w:style>
  <w:style w:type="character" w:styleId="5">
    <w:name w:val="Hyperlink"/>
    <w:basedOn w:val="2"/>
    <w:unhideWhenUsed/>
    <w:qFormat/>
    <w:uiPriority w:val="99"/>
    <w:rPr>
      <w:color w:val="0563C1" w:themeColor="hyperlink"/>
      <w:u w:val="single"/>
      <w14:textFill>
        <w14:solidFill>
          <w14:schemeClr w14:val="hlink"/>
        </w14:solidFill>
      </w14:textFill>
    </w:rPr>
  </w:style>
  <w:style w:type="paragraph" w:styleId="6">
    <w:name w:val="No Spacing"/>
    <w:qFormat/>
    <w:uiPriority w:val="99"/>
    <w:pPr>
      <w:spacing w:after="0" w:line="240" w:lineRule="auto"/>
    </w:pPr>
    <w:rPr>
      <w:rFonts w:ascii="Calibri" w:hAnsi="Calibri" w:eastAsia="Times New Roman" w:cs="Times New Roman"/>
      <w:sz w:val="22"/>
      <w:szCs w:val="22"/>
      <w:lang w:val="sr-Latn-CS" w:eastAsia="sr-Latn-CS" w:bidi="ar-SA"/>
    </w:rPr>
  </w:style>
  <w:style w:type="character" w:customStyle="1" w:styleId="7">
    <w:name w:val="Footer Char"/>
    <w:basedOn w:val="2"/>
    <w:link w:val="4"/>
    <w:qFormat/>
    <w:uiPriority w:val="99"/>
    <w:rPr>
      <w:rFonts w:ascii="Calibri" w:hAnsi="Calibri" w:eastAsia="Times New Roman" w:cs="Times New Roman"/>
      <w:lang w:val="sr-Latn-CS" w:eastAsia="sr-Latn-CS"/>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954</Words>
  <Characters>5440</Characters>
  <Lines>45</Lines>
  <Paragraphs>12</Paragraphs>
  <TotalTime>10</TotalTime>
  <ScaleCrop>false</ScaleCrop>
  <LinksUpToDate>false</LinksUpToDate>
  <CharactersWithSpaces>6382</CharactersWithSpaces>
  <Application>WPS Office_12.2.0.20795_F1E327BC-269C-435d-A152-05C5408002CA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2025-05-05T07:32:00Z</dcterms:created>
  <dc:creator>Dusan</dc:creator>
  <cp:lastModifiedBy>Office</cp:lastModifiedBy>
  <dcterms:modified xsi:type="dcterms:W3CDTF">2025-05-05T09:43:57Z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1033-12.2.0.20795</vt:lpwstr>
  </property>
  <property fmtid="{D5CDD505-2E9C-101B-9397-08002B2CF9AE}" pid="3" name="ICV">
    <vt:lpwstr>D87BF16B2880404D82301E1B10E10634_13</vt:lpwstr>
  </property>
</Properties>
</file>